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0EE98" w14:textId="77777777" w:rsidR="00ED21B4" w:rsidRDefault="005A41B0" w:rsidP="005A41B0">
      <w:pPr>
        <w:pStyle w:val="Titulo2"/>
        <w:jc w:val="center"/>
        <w:rPr>
          <w:color w:val="7030A0"/>
        </w:rPr>
      </w:pPr>
      <w:r>
        <w:rPr>
          <w:color w:val="7030A0"/>
        </w:rPr>
        <w:t xml:space="preserve">MIGRACIÓN A </w:t>
      </w:r>
      <w:r w:rsidR="00A26608" w:rsidRPr="009E69AA">
        <w:rPr>
          <w:color w:val="7030A0"/>
        </w:rPr>
        <w:t>SYMANTEC ENDPOINT PROTECTION 14</w:t>
      </w:r>
    </w:p>
    <w:p w14:paraId="070E2227" w14:textId="77777777" w:rsidR="005A41B0" w:rsidRDefault="005A41B0" w:rsidP="005A41B0">
      <w:pPr>
        <w:pStyle w:val="Titulo2"/>
        <w:jc w:val="center"/>
        <w:rPr>
          <w:color w:val="F79646" w:themeColor="accent6"/>
        </w:rPr>
      </w:pPr>
      <w:r w:rsidRPr="005A41B0">
        <w:rPr>
          <w:color w:val="F79646" w:themeColor="accent6"/>
        </w:rPr>
        <w:t>Cómo administrar la nuev</w:t>
      </w:r>
      <w:bookmarkStart w:id="0" w:name="_GoBack"/>
      <w:bookmarkEnd w:id="0"/>
      <w:r w:rsidRPr="005A41B0">
        <w:rPr>
          <w:color w:val="F79646" w:themeColor="accent6"/>
        </w:rPr>
        <w:t>a plataforma de symantec endpoint protection manager</w:t>
      </w:r>
    </w:p>
    <w:p w14:paraId="4440D8FB" w14:textId="77777777" w:rsidR="005A41B0" w:rsidRPr="005A41B0" w:rsidRDefault="005A41B0" w:rsidP="005A41B0">
      <w:pPr>
        <w:pStyle w:val="Titulo2"/>
        <w:jc w:val="center"/>
        <w:rPr>
          <w:color w:val="F79646" w:themeColor="accent6"/>
        </w:rPr>
      </w:pPr>
    </w:p>
    <w:p w14:paraId="06D0F279" w14:textId="77777777" w:rsidR="00A26608" w:rsidRDefault="00A26608" w:rsidP="00A26608">
      <w:pPr>
        <w:spacing w:before="100" w:beforeAutospacing="1" w:after="100" w:afterAutospacing="1" w:line="360" w:lineRule="auto"/>
        <w:rPr>
          <w:rFonts w:ascii="Verdana" w:hAnsi="Verdana"/>
          <w:b/>
          <w:color w:val="000000"/>
          <w:sz w:val="20"/>
          <w:szCs w:val="20"/>
          <w:lang w:val="es-AR" w:eastAsia="es-AR"/>
        </w:rPr>
      </w:pPr>
      <w:r>
        <w:rPr>
          <w:rFonts w:ascii="Verdana" w:hAnsi="Verdana"/>
          <w:b/>
          <w:color w:val="000000"/>
          <w:sz w:val="20"/>
          <w:szCs w:val="20"/>
          <w:lang w:val="es-AR" w:eastAsia="es-AR"/>
        </w:rPr>
        <w:t xml:space="preserve">Objetivo: </w:t>
      </w:r>
      <w:r>
        <w:rPr>
          <w:rFonts w:ascii="Verdana" w:hAnsi="Verdana"/>
          <w:snapToGrid w:val="0"/>
          <w:color w:val="000000"/>
          <w:sz w:val="20"/>
          <w:szCs w:val="20"/>
          <w:lang w:val="es-CL" w:eastAsia="es-AR"/>
        </w:rPr>
        <w:t>Transmitir a los asistentes el conocimiento en el uso de las herramientas tecnológicas para la administración y gestión diaria de la plataforma de seguridad Symantec EndPoint Protection Manager.</w:t>
      </w:r>
    </w:p>
    <w:p w14:paraId="18F2C4E8" w14:textId="77777777" w:rsidR="00A26608" w:rsidRDefault="00A26608" w:rsidP="00A26608">
      <w:pPr>
        <w:spacing w:before="100" w:beforeAutospacing="1" w:after="100" w:afterAutospacing="1" w:line="360" w:lineRule="auto"/>
        <w:rPr>
          <w:rFonts w:ascii="Verdana" w:hAnsi="Verdana"/>
          <w:color w:val="000000"/>
          <w:sz w:val="20"/>
          <w:szCs w:val="20"/>
          <w:lang w:val="es-AR" w:eastAsia="es-AR"/>
        </w:rPr>
      </w:pPr>
      <w:r w:rsidRPr="00180913">
        <w:rPr>
          <w:rFonts w:ascii="Verdana" w:hAnsi="Verdana"/>
          <w:b/>
          <w:color w:val="000000"/>
          <w:sz w:val="20"/>
          <w:szCs w:val="20"/>
          <w:lang w:val="es-AR" w:eastAsia="es-AR"/>
        </w:rPr>
        <w:t>Modalidad</w:t>
      </w:r>
      <w:r>
        <w:rPr>
          <w:rFonts w:ascii="Verdana" w:hAnsi="Verdana"/>
          <w:b/>
          <w:color w:val="000000"/>
          <w:sz w:val="20"/>
          <w:szCs w:val="20"/>
          <w:lang w:val="es-AR" w:eastAsia="es-AR"/>
        </w:rPr>
        <w:t>es</w:t>
      </w:r>
      <w:r w:rsidRPr="00180913">
        <w:rPr>
          <w:rFonts w:ascii="Verdana" w:hAnsi="Verdana"/>
          <w:b/>
          <w:color w:val="000000"/>
          <w:sz w:val="20"/>
          <w:szCs w:val="20"/>
          <w:lang w:val="es-AR" w:eastAsia="es-AR"/>
        </w:rPr>
        <w:t>:</w:t>
      </w:r>
      <w:r>
        <w:rPr>
          <w:rFonts w:ascii="Verdana" w:hAnsi="Verdana"/>
          <w:color w:val="000000"/>
          <w:sz w:val="20"/>
          <w:szCs w:val="20"/>
          <w:lang w:val="es-AR" w:eastAsia="es-AR"/>
        </w:rPr>
        <w:t xml:space="preserve"> </w:t>
      </w:r>
    </w:p>
    <w:p w14:paraId="3478AD8E" w14:textId="77777777" w:rsidR="009E4D6F" w:rsidRDefault="000F00E8" w:rsidP="009E4D6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hAnsi="Verdana"/>
          <w:color w:val="000000"/>
          <w:sz w:val="20"/>
          <w:szCs w:val="20"/>
          <w:lang w:val="es-AR" w:eastAsia="es-AR"/>
        </w:rPr>
      </w:pPr>
      <w:r>
        <w:rPr>
          <w:rFonts w:ascii="Verdana" w:hAnsi="Verdana"/>
          <w:color w:val="000000"/>
          <w:sz w:val="20"/>
          <w:szCs w:val="20"/>
          <w:lang w:val="es-AR" w:eastAsia="es-AR"/>
        </w:rPr>
        <w:t>Presencial en NextVision</w:t>
      </w:r>
      <w:r w:rsidR="00A26608">
        <w:rPr>
          <w:rFonts w:ascii="Verdana" w:hAnsi="Verdana"/>
          <w:color w:val="000000"/>
          <w:sz w:val="20"/>
          <w:szCs w:val="20"/>
          <w:lang w:val="es-AR" w:eastAsia="es-AR"/>
        </w:rPr>
        <w:t xml:space="preserve">. </w:t>
      </w:r>
    </w:p>
    <w:p w14:paraId="14A7000C" w14:textId="77777777" w:rsidR="009E4D6F" w:rsidRPr="009E4D6F" w:rsidRDefault="00084E84" w:rsidP="009E4D6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hAnsi="Verdana"/>
          <w:color w:val="000000"/>
          <w:sz w:val="20"/>
          <w:szCs w:val="20"/>
          <w:lang w:val="es-AR" w:eastAsia="es-AR"/>
        </w:rPr>
      </w:pPr>
      <w:r w:rsidRPr="009E4D6F">
        <w:rPr>
          <w:rFonts w:ascii="Verdana" w:hAnsi="Verdana"/>
          <w:color w:val="000000"/>
          <w:sz w:val="20"/>
          <w:szCs w:val="20"/>
          <w:lang w:val="es-AR" w:eastAsia="es-AR"/>
        </w:rPr>
        <w:t xml:space="preserve">Remoto: </w:t>
      </w:r>
      <w:r w:rsidR="009E4D6F" w:rsidRPr="009E4D6F">
        <w:rPr>
          <w:rFonts w:ascii="Verdana" w:hAnsi="Verdana"/>
          <w:color w:val="000000"/>
          <w:sz w:val="20"/>
          <w:szCs w:val="20"/>
          <w:lang w:val="es-AR" w:eastAsia="es-AR"/>
        </w:rPr>
        <w:t>Se podrá participar en modalidad remota.</w:t>
      </w:r>
    </w:p>
    <w:p w14:paraId="65B98F91" w14:textId="77777777" w:rsidR="00A26608" w:rsidRPr="00130476" w:rsidRDefault="009E4D6F" w:rsidP="009E4D6F">
      <w:pPr>
        <w:spacing w:before="100" w:beforeAutospacing="1" w:after="100" w:afterAutospacing="1" w:line="360" w:lineRule="auto"/>
        <w:rPr>
          <w:rFonts w:ascii="Verdana" w:hAnsi="Verdana"/>
          <w:b/>
          <w:color w:val="000000"/>
          <w:sz w:val="20"/>
          <w:szCs w:val="20"/>
          <w:lang w:val="es-AR" w:eastAsia="es-AR"/>
        </w:rPr>
      </w:pPr>
      <w:r w:rsidRPr="00130476">
        <w:rPr>
          <w:rFonts w:ascii="Verdana" w:hAnsi="Verdana"/>
          <w:b/>
          <w:color w:val="000000"/>
          <w:sz w:val="20"/>
          <w:szCs w:val="20"/>
          <w:lang w:val="es-AR" w:eastAsia="es-AR"/>
        </w:rPr>
        <w:t xml:space="preserve"> </w:t>
      </w:r>
      <w:r w:rsidR="00A26608" w:rsidRPr="00130476">
        <w:rPr>
          <w:rFonts w:ascii="Verdana" w:hAnsi="Verdana"/>
          <w:b/>
          <w:color w:val="000000"/>
          <w:sz w:val="20"/>
          <w:szCs w:val="20"/>
          <w:lang w:val="es-AR" w:eastAsia="es-AR"/>
        </w:rPr>
        <w:t>Beneficios de la capacitación:</w:t>
      </w:r>
    </w:p>
    <w:p w14:paraId="1AC5AB42" w14:textId="77777777" w:rsidR="00A26608" w:rsidRDefault="00A26608" w:rsidP="00A2660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  <w:color w:val="000000"/>
          <w:sz w:val="20"/>
          <w:szCs w:val="20"/>
          <w:lang w:val="es-AR" w:eastAsia="es-AR"/>
        </w:rPr>
      </w:pPr>
      <w:r>
        <w:rPr>
          <w:rFonts w:ascii="Verdana" w:hAnsi="Verdana"/>
          <w:color w:val="000000"/>
          <w:sz w:val="20"/>
          <w:szCs w:val="20"/>
          <w:lang w:val="es-AR" w:eastAsia="es-AR"/>
        </w:rPr>
        <w:t>Brindada por personal certificado de NextVision.</w:t>
      </w:r>
    </w:p>
    <w:p w14:paraId="2C47C6F0" w14:textId="77777777" w:rsidR="00A26608" w:rsidRDefault="00A26608" w:rsidP="00A2660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  <w:color w:val="000000"/>
          <w:sz w:val="20"/>
          <w:szCs w:val="20"/>
          <w:lang w:val="es-AR" w:eastAsia="es-AR"/>
        </w:rPr>
      </w:pPr>
      <w:r>
        <w:rPr>
          <w:rFonts w:ascii="Verdana" w:hAnsi="Verdana"/>
          <w:color w:val="000000"/>
          <w:sz w:val="20"/>
          <w:szCs w:val="20"/>
          <w:lang w:val="es-AR" w:eastAsia="es-AR"/>
        </w:rPr>
        <w:t xml:space="preserve">Los asistentes del curso tendrán el conocimiento necesario para poder administrar la nueva plataforma de Symantec Endpoint Protection Manager. </w:t>
      </w:r>
    </w:p>
    <w:p w14:paraId="58A7B55C" w14:textId="77777777" w:rsidR="00A26608" w:rsidRPr="0036497F" w:rsidRDefault="00A26608" w:rsidP="00A2660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  <w:color w:val="000000"/>
          <w:sz w:val="20"/>
          <w:szCs w:val="20"/>
          <w:lang w:val="es-AR" w:eastAsia="es-AR"/>
        </w:rPr>
      </w:pPr>
      <w:r>
        <w:rPr>
          <w:rFonts w:ascii="Verdana" w:hAnsi="Verdana"/>
          <w:color w:val="000000"/>
          <w:sz w:val="20"/>
          <w:szCs w:val="20"/>
          <w:lang w:val="es-AR" w:eastAsia="es-AR"/>
        </w:rPr>
        <w:t>Certificado de asistencia a los participantes.</w:t>
      </w:r>
    </w:p>
    <w:p w14:paraId="34E571E6" w14:textId="77777777" w:rsidR="00A26608" w:rsidRPr="0019106C" w:rsidRDefault="00970A0D" w:rsidP="00A26608">
      <w:pPr>
        <w:rPr>
          <w:rFonts w:ascii="Verdana" w:hAnsi="Verdana"/>
          <w:b/>
          <w:snapToGrid w:val="0"/>
          <w:color w:val="000000"/>
          <w:sz w:val="20"/>
          <w:szCs w:val="20"/>
          <w:lang w:val="en-US" w:eastAsia="es-AR"/>
        </w:rPr>
      </w:pPr>
      <w:r w:rsidRPr="00615DD5">
        <w:rPr>
          <w:rFonts w:ascii="Verdana" w:hAnsi="Verdana"/>
          <w:b/>
          <w:snapToGrid w:val="0"/>
          <w:color w:val="000000"/>
          <w:sz w:val="20"/>
          <w:szCs w:val="20"/>
          <w:lang w:val="en-US" w:eastAsia="es-AR"/>
        </w:rPr>
        <w:t>Capacitation</w:t>
      </w:r>
      <w:r w:rsidR="00A26608" w:rsidRPr="0019106C">
        <w:rPr>
          <w:rFonts w:ascii="Verdana" w:hAnsi="Verdana"/>
          <w:b/>
          <w:snapToGrid w:val="0"/>
          <w:color w:val="000000"/>
          <w:sz w:val="20"/>
          <w:szCs w:val="20"/>
          <w:lang w:val="en-US" w:eastAsia="es-AR"/>
        </w:rPr>
        <w:t xml:space="preserve"> Symantec Endpoint Protection Manager:</w:t>
      </w:r>
    </w:p>
    <w:p w14:paraId="614F5879" w14:textId="77777777" w:rsidR="00A26608" w:rsidRPr="0019106C" w:rsidRDefault="00A26608" w:rsidP="00A26608">
      <w:pPr>
        <w:rPr>
          <w:rFonts w:ascii="Verdana" w:hAnsi="Verdana"/>
          <w:snapToGrid w:val="0"/>
          <w:color w:val="000000"/>
          <w:sz w:val="20"/>
          <w:szCs w:val="20"/>
          <w:lang w:val="en-US" w:eastAsia="es-AR"/>
        </w:rPr>
      </w:pPr>
    </w:p>
    <w:p w14:paraId="3C020495" w14:textId="77777777" w:rsidR="00A26608" w:rsidRPr="007701CF" w:rsidRDefault="00A26608" w:rsidP="00A26608">
      <w:pPr>
        <w:spacing w:before="100" w:beforeAutospacing="1" w:after="100" w:afterAutospacing="1" w:line="360" w:lineRule="auto"/>
        <w:rPr>
          <w:rFonts w:ascii="Verdana" w:hAnsi="Verdana"/>
          <w:color w:val="000000"/>
          <w:sz w:val="20"/>
          <w:szCs w:val="20"/>
          <w:lang w:val="es-AR" w:eastAsia="es-AR"/>
        </w:rPr>
      </w:pPr>
      <w:r w:rsidRPr="007701CF">
        <w:rPr>
          <w:rFonts w:ascii="Verdana" w:hAnsi="Verdana"/>
          <w:color w:val="000000"/>
          <w:sz w:val="20"/>
          <w:szCs w:val="20"/>
          <w:lang w:val="es-AR" w:eastAsia="es-AR"/>
        </w:rPr>
        <w:t xml:space="preserve">El entrenamiento estará a cargo de personal certificado de NextVision. La capacitación propuesta está basada en el curso: “Symantec Endpoint Protection 14: Installation and Administration Guide”. </w:t>
      </w:r>
    </w:p>
    <w:p w14:paraId="34768DD0" w14:textId="77777777" w:rsidR="00A26608" w:rsidRDefault="00A26608" w:rsidP="00A26608">
      <w:pPr>
        <w:rPr>
          <w:rFonts w:ascii="Verdana" w:hAnsi="Verdana"/>
          <w:snapToGrid w:val="0"/>
          <w:color w:val="000000"/>
          <w:sz w:val="20"/>
          <w:szCs w:val="20"/>
          <w:lang w:val="es-CL" w:eastAsia="es-AR"/>
        </w:rPr>
      </w:pPr>
    </w:p>
    <w:p w14:paraId="432B3B8E" w14:textId="77777777" w:rsidR="0019106C" w:rsidRDefault="0019106C" w:rsidP="0019106C">
      <w:pPr>
        <w:rPr>
          <w:rFonts w:ascii="Verdana" w:hAnsi="Verdana"/>
          <w:snapToGrid w:val="0"/>
          <w:color w:val="000000"/>
          <w:sz w:val="20"/>
          <w:szCs w:val="20"/>
          <w:lang w:val="es-CL" w:eastAsia="es-AR"/>
        </w:rPr>
      </w:pPr>
      <w:r>
        <w:rPr>
          <w:rFonts w:ascii="Verdana" w:hAnsi="Verdana"/>
          <w:b/>
          <w:snapToGrid w:val="0"/>
          <w:color w:val="000000"/>
          <w:sz w:val="20"/>
          <w:szCs w:val="20"/>
          <w:lang w:val="es-CL" w:eastAsia="es-AR"/>
        </w:rPr>
        <w:t>Temario</w:t>
      </w:r>
    </w:p>
    <w:p w14:paraId="6C988C00" w14:textId="77777777" w:rsidR="0019106C" w:rsidRDefault="0019106C" w:rsidP="0019106C">
      <w:pPr>
        <w:rPr>
          <w:rFonts w:ascii="Verdana" w:hAnsi="Verdana"/>
          <w:snapToGrid w:val="0"/>
          <w:color w:val="000000"/>
          <w:sz w:val="20"/>
          <w:szCs w:val="20"/>
          <w:lang w:val="es-CL" w:eastAsia="es-AR"/>
        </w:rPr>
      </w:pPr>
    </w:p>
    <w:p w14:paraId="333FDEE7" w14:textId="77777777" w:rsidR="0019106C" w:rsidRPr="000F362F" w:rsidRDefault="0019106C" w:rsidP="0019106C">
      <w:pPr>
        <w:spacing w:after="100" w:afterAutospacing="1"/>
        <w:ind w:left="72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 w:rsidRPr="000F362F">
        <w:rPr>
          <w:rFonts w:ascii="Verdana" w:eastAsia="Calibri" w:hAnsi="Verdana"/>
          <w:b/>
          <w:bCs/>
          <w:sz w:val="20"/>
          <w:szCs w:val="20"/>
          <w:lang w:val="es-AR" w:eastAsia="es-AR"/>
        </w:rPr>
        <w:t xml:space="preserve">1)      Nueva </w:t>
      </w:r>
      <w:r w:rsidR="00970A0D" w:rsidRPr="000F362F">
        <w:rPr>
          <w:rFonts w:ascii="Verdana" w:eastAsia="Calibri" w:hAnsi="Verdana"/>
          <w:b/>
          <w:bCs/>
          <w:sz w:val="20"/>
          <w:szCs w:val="20"/>
          <w:lang w:val="es-AR" w:eastAsia="es-AR"/>
        </w:rPr>
        <w:t>versión</w:t>
      </w:r>
      <w:r w:rsidRPr="000F362F">
        <w:rPr>
          <w:rFonts w:ascii="Verdana" w:eastAsia="Calibri" w:hAnsi="Verdana"/>
          <w:b/>
          <w:bCs/>
          <w:sz w:val="20"/>
          <w:szCs w:val="20"/>
          <w:lang w:val="es-AR" w:eastAsia="es-AR"/>
        </w:rPr>
        <w:t xml:space="preserve"> Symantec Endpoint Protection </w:t>
      </w:r>
    </w:p>
    <w:p w14:paraId="345703FC" w14:textId="77777777" w:rsidR="0019106C" w:rsidRDefault="0019106C" w:rsidP="0019106C">
      <w:pPr>
        <w:spacing w:after="100" w:afterAutospacing="1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a.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>Nuevas tecnologías involucradas en SEP14</w:t>
      </w:r>
    </w:p>
    <w:p w14:paraId="094099A4" w14:textId="77777777" w:rsidR="0019106C" w:rsidRDefault="0019106C" w:rsidP="0019106C">
      <w:pPr>
        <w:spacing w:after="100" w:afterAutospacing="1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b.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 xml:space="preserve">Capas de protección en el endpoint  </w:t>
      </w:r>
    </w:p>
    <w:p w14:paraId="0E52D9CF" w14:textId="77777777" w:rsidR="0019106C" w:rsidRDefault="0019106C" w:rsidP="0019106C">
      <w:pPr>
        <w:spacing w:after="100" w:afterAutospacing="1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c.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>Nuevos componentes de SEP 14</w:t>
      </w:r>
    </w:p>
    <w:p w14:paraId="1B7A9AA4" w14:textId="77777777" w:rsidR="0019106C" w:rsidRDefault="0019106C" w:rsidP="0019106C">
      <w:pPr>
        <w:spacing w:after="100" w:afterAutospacing="1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d.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 xml:space="preserve">Políticas y conceptos asociados de Symantec  </w:t>
      </w:r>
    </w:p>
    <w:p w14:paraId="498B4125" w14:textId="77777777" w:rsidR="0019106C" w:rsidRDefault="0019106C" w:rsidP="0019106C">
      <w:pPr>
        <w:spacing w:after="240" w:line="276" w:lineRule="auto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 </w:t>
      </w:r>
    </w:p>
    <w:p w14:paraId="7E4F11C9" w14:textId="77777777" w:rsidR="0019106C" w:rsidRDefault="0019106C" w:rsidP="0019106C">
      <w:pPr>
        <w:spacing w:after="200" w:line="276" w:lineRule="auto"/>
        <w:ind w:left="72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b/>
          <w:bCs/>
          <w:sz w:val="20"/>
          <w:szCs w:val="20"/>
          <w:lang w:val="es-MX" w:eastAsia="es-AR"/>
        </w:rPr>
        <w:t>2)      Migración de SEP Manager</w:t>
      </w:r>
    </w:p>
    <w:p w14:paraId="3A6A5B0F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a.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 xml:space="preserve">Requerimientos de Sistema. </w:t>
      </w:r>
    </w:p>
    <w:p w14:paraId="1D341EDA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b.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 xml:space="preserve">Preparación de Servidores para la migración </w:t>
      </w:r>
    </w:p>
    <w:p w14:paraId="739040D9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lastRenderedPageBreak/>
        <w:t>c.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 xml:space="preserve">Upgrade y configuración de SEP Manager </w:t>
      </w:r>
    </w:p>
    <w:p w14:paraId="0014B2C2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d.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 xml:space="preserve">Descripción de la compatibilidad de versión y migración de SEPM </w:t>
      </w:r>
    </w:p>
    <w:p w14:paraId="351A5B93" w14:textId="77777777" w:rsidR="0019106C" w:rsidRDefault="0019106C" w:rsidP="0019106C">
      <w:pPr>
        <w:spacing w:after="240" w:line="276" w:lineRule="auto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 </w:t>
      </w:r>
    </w:p>
    <w:p w14:paraId="4F37D87D" w14:textId="77777777" w:rsidR="0019106C" w:rsidRDefault="0019106C" w:rsidP="0019106C">
      <w:pPr>
        <w:spacing w:after="200" w:line="276" w:lineRule="auto"/>
        <w:ind w:left="72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b/>
          <w:bCs/>
          <w:sz w:val="20"/>
          <w:szCs w:val="20"/>
          <w:lang w:val="es-MX" w:eastAsia="es-AR"/>
        </w:rPr>
        <w:t>3)      Migración de Clientes a SEP 14</w:t>
      </w:r>
    </w:p>
    <w:p w14:paraId="2C7922D4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a.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 xml:space="preserve">Requerimientos de clientes y métodos de actualización </w:t>
      </w:r>
    </w:p>
    <w:p w14:paraId="3E39FCAD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b.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>Preparación para la migración de clientes según sistemas operativos</w:t>
      </w:r>
    </w:p>
    <w:p w14:paraId="519F54A2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c.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 xml:space="preserve">Características y configuraciones de los paquetes de instalación </w:t>
      </w:r>
    </w:p>
    <w:p w14:paraId="687EB83F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d.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>Migración de clientes administrados</w:t>
      </w:r>
    </w:p>
    <w:p w14:paraId="606F2A38" w14:textId="77777777" w:rsidR="0019106C" w:rsidRDefault="0019106C" w:rsidP="0019106C">
      <w:pPr>
        <w:spacing w:after="240" w:line="276" w:lineRule="auto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b/>
          <w:bCs/>
          <w:sz w:val="20"/>
          <w:szCs w:val="20"/>
          <w:lang w:val="es-AR" w:eastAsia="es-AR"/>
        </w:rPr>
        <w:t> </w:t>
      </w:r>
    </w:p>
    <w:p w14:paraId="23B37E50" w14:textId="77777777" w:rsidR="0019106C" w:rsidRDefault="0019106C" w:rsidP="0019106C">
      <w:pPr>
        <w:spacing w:after="200" w:line="276" w:lineRule="auto"/>
        <w:ind w:left="72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b/>
          <w:bCs/>
          <w:sz w:val="20"/>
          <w:szCs w:val="20"/>
          <w:lang w:val="es-MX" w:eastAsia="es-AR"/>
        </w:rPr>
        <w:t xml:space="preserve">4)      Configuración de Actualizaciones de LiveUpdate </w:t>
      </w:r>
    </w:p>
    <w:p w14:paraId="38017FFB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a.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 xml:space="preserve">Introducción al servicio de LiveUpdate. </w:t>
      </w:r>
    </w:p>
    <w:p w14:paraId="2C978D83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b.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>Configuración de LiveUpdate  para SEPM</w:t>
      </w:r>
    </w:p>
    <w:p w14:paraId="4D1C9F73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c.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>Configuración de políticas de contenidos y LiveUpdate</w:t>
      </w:r>
    </w:p>
    <w:p w14:paraId="5E1DD5D8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d.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 xml:space="preserve">Configuración de nuevas opciones de GUPs </w:t>
      </w:r>
    </w:p>
    <w:p w14:paraId="39A19BDB" w14:textId="77777777" w:rsidR="0019106C" w:rsidRDefault="0019106C" w:rsidP="0019106C">
      <w:pPr>
        <w:spacing w:after="240" w:line="276" w:lineRule="auto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 </w:t>
      </w:r>
    </w:p>
    <w:p w14:paraId="07E4F8FA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 xml:space="preserve">  </w:t>
      </w:r>
    </w:p>
    <w:p w14:paraId="76304F2E" w14:textId="77777777" w:rsidR="0019106C" w:rsidRDefault="0019106C" w:rsidP="0019106C">
      <w:pPr>
        <w:spacing w:after="200" w:line="276" w:lineRule="auto"/>
        <w:ind w:left="72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b/>
          <w:bCs/>
          <w:sz w:val="20"/>
          <w:szCs w:val="20"/>
          <w:lang w:val="es-MX" w:eastAsia="es-AR"/>
        </w:rPr>
        <w:t>5)      Administración de las políticas de Protección Anti-Malware (incluidas técnicas de mitigación Ransomware)</w:t>
      </w:r>
    </w:p>
    <w:p w14:paraId="365A990A" w14:textId="77777777" w:rsidR="0019106C" w:rsidRDefault="0019106C" w:rsidP="0019106C">
      <w:pPr>
        <w:numPr>
          <w:ilvl w:val="0"/>
          <w:numId w:val="2"/>
        </w:numPr>
        <w:spacing w:after="200" w:line="276" w:lineRule="auto"/>
        <w:ind w:left="1418" w:firstLine="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 xml:space="preserve">Definición y Configuración </w:t>
      </w:r>
      <w:r w:rsidRPr="00702553">
        <w:rPr>
          <w:rFonts w:ascii="Verdana" w:eastAsia="Calibri" w:hAnsi="Verdana"/>
          <w:sz w:val="20"/>
          <w:szCs w:val="20"/>
          <w:lang w:val="es-AR" w:eastAsia="es-AR"/>
        </w:rPr>
        <w:t>Intrusion prevention</w:t>
      </w:r>
    </w:p>
    <w:p w14:paraId="4CADDBE4" w14:textId="77777777" w:rsidR="0019106C" w:rsidRDefault="0019106C" w:rsidP="0019106C">
      <w:pPr>
        <w:numPr>
          <w:ilvl w:val="0"/>
          <w:numId w:val="2"/>
        </w:numPr>
        <w:spacing w:after="200" w:line="276" w:lineRule="auto"/>
        <w:ind w:left="1418" w:firstLine="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Definición y Configuración</w:t>
      </w:r>
      <w:r w:rsidRPr="00702553">
        <w:rPr>
          <w:rFonts w:ascii="Verdana" w:eastAsia="Calibri" w:hAnsi="Verdana"/>
          <w:sz w:val="20"/>
          <w:szCs w:val="20"/>
          <w:lang w:val="es-AR" w:eastAsia="es-AR"/>
        </w:rPr>
        <w:t xml:space="preserve"> Generic Exploit Mitigation</w:t>
      </w:r>
    </w:p>
    <w:p w14:paraId="44D989B4" w14:textId="77777777" w:rsidR="0019106C" w:rsidRDefault="0019106C" w:rsidP="0019106C">
      <w:pPr>
        <w:numPr>
          <w:ilvl w:val="0"/>
          <w:numId w:val="2"/>
        </w:numPr>
        <w:spacing w:after="200" w:line="276" w:lineRule="auto"/>
        <w:ind w:left="1418" w:firstLine="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Configuración de p</w:t>
      </w:r>
      <w:r w:rsidRPr="00702553">
        <w:rPr>
          <w:rFonts w:ascii="Verdana" w:eastAsia="Calibri" w:hAnsi="Verdana"/>
          <w:sz w:val="20"/>
          <w:szCs w:val="20"/>
          <w:lang w:val="es-AR" w:eastAsia="es-AR"/>
        </w:rPr>
        <w:t>olíticas de Virus and Spyware Ptotection</w:t>
      </w:r>
    </w:p>
    <w:p w14:paraId="688489FE" w14:textId="77777777" w:rsidR="0019106C" w:rsidRDefault="0019106C" w:rsidP="0019106C">
      <w:pPr>
        <w:spacing w:after="200" w:line="276" w:lineRule="auto"/>
        <w:ind w:left="2946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 xml:space="preserve">-. Emulador, técnica de anti-evasión para detectar Malware oculto  </w:t>
      </w:r>
    </w:p>
    <w:p w14:paraId="3FAEB9AD" w14:textId="77777777" w:rsidR="0019106C" w:rsidRDefault="0019106C" w:rsidP="0019106C">
      <w:pPr>
        <w:numPr>
          <w:ilvl w:val="0"/>
          <w:numId w:val="2"/>
        </w:numPr>
        <w:spacing w:after="200" w:line="276" w:lineRule="auto"/>
        <w:ind w:left="1418" w:firstLine="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Configuración de p</w:t>
      </w:r>
      <w:r w:rsidRPr="00702553">
        <w:rPr>
          <w:rFonts w:ascii="Verdana" w:eastAsia="Calibri" w:hAnsi="Verdana"/>
          <w:sz w:val="20"/>
          <w:szCs w:val="20"/>
          <w:lang w:val="es-AR" w:eastAsia="es-AR"/>
        </w:rPr>
        <w:t>olíticas de Preventing ransomware attacks con Download Insgight</w:t>
      </w:r>
      <w:r>
        <w:rPr>
          <w:rFonts w:ascii="Verdana" w:eastAsia="Calibri" w:hAnsi="Verdana"/>
          <w:sz w:val="20"/>
          <w:szCs w:val="20"/>
          <w:lang w:val="es-AR" w:eastAsia="es-AR"/>
        </w:rPr>
        <w:t xml:space="preserve"> </w:t>
      </w:r>
    </w:p>
    <w:p w14:paraId="2D160AF9" w14:textId="77777777" w:rsidR="0019106C" w:rsidRDefault="0019106C" w:rsidP="0019106C">
      <w:pPr>
        <w:numPr>
          <w:ilvl w:val="0"/>
          <w:numId w:val="2"/>
        </w:numPr>
        <w:spacing w:after="200" w:line="276" w:lineRule="auto"/>
        <w:ind w:left="1418" w:firstLine="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Configuración de p</w:t>
      </w:r>
      <w:r w:rsidRPr="00702553">
        <w:rPr>
          <w:rFonts w:ascii="Verdana" w:eastAsia="Calibri" w:hAnsi="Verdana"/>
          <w:sz w:val="20"/>
          <w:szCs w:val="20"/>
          <w:lang w:val="es-AR" w:eastAsia="es-AR"/>
        </w:rPr>
        <w:t>olíticas de SONAR (prevención de ataques “zero-day”)</w:t>
      </w:r>
      <w:r>
        <w:rPr>
          <w:rFonts w:ascii="Verdana" w:eastAsia="Calibri" w:hAnsi="Verdana"/>
          <w:sz w:val="20"/>
          <w:szCs w:val="20"/>
          <w:lang w:val="es-AR" w:eastAsia="es-AR"/>
        </w:rPr>
        <w:t xml:space="preserve"> </w:t>
      </w:r>
    </w:p>
    <w:p w14:paraId="41AFC63A" w14:textId="77777777" w:rsidR="0019106C" w:rsidRDefault="0019106C" w:rsidP="0019106C">
      <w:pPr>
        <w:numPr>
          <w:ilvl w:val="0"/>
          <w:numId w:val="2"/>
        </w:numPr>
        <w:spacing w:after="200" w:line="276" w:lineRule="auto"/>
        <w:ind w:left="1418" w:firstLine="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Administración de tecnología Tamper Protection</w:t>
      </w:r>
    </w:p>
    <w:p w14:paraId="0F547BC3" w14:textId="77777777" w:rsidR="0019106C" w:rsidRDefault="0019106C" w:rsidP="0019106C">
      <w:pPr>
        <w:numPr>
          <w:ilvl w:val="0"/>
          <w:numId w:val="2"/>
        </w:numPr>
        <w:spacing w:after="200" w:line="276" w:lineRule="auto"/>
        <w:ind w:left="1418" w:firstLine="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Configuración de Intelligent Threat Cloud Service</w:t>
      </w:r>
    </w:p>
    <w:p w14:paraId="371C8F67" w14:textId="77777777" w:rsidR="0019106C" w:rsidRDefault="0019106C" w:rsidP="0019106C">
      <w:pPr>
        <w:numPr>
          <w:ilvl w:val="0"/>
          <w:numId w:val="2"/>
        </w:numPr>
        <w:spacing w:after="200" w:line="276" w:lineRule="auto"/>
        <w:ind w:left="1418" w:firstLine="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Mejores prácticas para remoción y protección de Ransomware</w:t>
      </w:r>
    </w:p>
    <w:p w14:paraId="5DB638A9" w14:textId="77777777" w:rsidR="0019106C" w:rsidRDefault="0019106C" w:rsidP="0019106C">
      <w:pPr>
        <w:spacing w:after="200" w:line="276" w:lineRule="auto"/>
        <w:ind w:left="2946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-. Advanced Machine Learning (AML) detección de malware basado en atributos</w:t>
      </w:r>
    </w:p>
    <w:p w14:paraId="32A887DB" w14:textId="77777777" w:rsidR="0019106C" w:rsidRDefault="0019106C" w:rsidP="0019106C">
      <w:pPr>
        <w:spacing w:after="240" w:line="276" w:lineRule="auto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 </w:t>
      </w:r>
    </w:p>
    <w:p w14:paraId="0670BBF2" w14:textId="77777777" w:rsidR="0019106C" w:rsidRDefault="0019106C" w:rsidP="0019106C">
      <w:pPr>
        <w:spacing w:after="200" w:line="276" w:lineRule="auto"/>
        <w:ind w:left="72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b/>
          <w:bCs/>
          <w:sz w:val="20"/>
          <w:szCs w:val="20"/>
          <w:lang w:val="es-MX" w:eastAsia="es-AR"/>
        </w:rPr>
        <w:t xml:space="preserve">6)      Administración de nuevas políticas de excepción </w:t>
      </w:r>
    </w:p>
    <w:p w14:paraId="2DE6EF28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ES" w:eastAsia="es-AR"/>
        </w:rPr>
        <w:t>a.</w:t>
      </w:r>
      <w:r>
        <w:rPr>
          <w:rFonts w:ascii="Verdana" w:eastAsia="Calibri" w:hAnsi="Verdana"/>
          <w:sz w:val="20"/>
          <w:szCs w:val="20"/>
          <w:lang w:val="es-ES" w:eastAsia="es-AR"/>
        </w:rPr>
        <w:tab/>
        <w:t>Exclusiones y excepciones</w:t>
      </w:r>
    </w:p>
    <w:p w14:paraId="0F71ACDF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ES" w:eastAsia="es-AR"/>
        </w:rPr>
      </w:pPr>
      <w:r>
        <w:rPr>
          <w:rFonts w:ascii="Verdana" w:eastAsia="Calibri" w:hAnsi="Verdana"/>
          <w:sz w:val="20"/>
          <w:szCs w:val="20"/>
          <w:lang w:val="es-ES" w:eastAsia="es-AR"/>
        </w:rPr>
        <w:t>b.</w:t>
      </w:r>
      <w:r>
        <w:rPr>
          <w:rFonts w:ascii="Verdana" w:eastAsia="Calibri" w:hAnsi="Verdana"/>
          <w:sz w:val="20"/>
          <w:szCs w:val="20"/>
          <w:lang w:val="es-ES" w:eastAsia="es-AR"/>
        </w:rPr>
        <w:tab/>
        <w:t>Configuración de políticas de excepción</w:t>
      </w:r>
    </w:p>
    <w:p w14:paraId="1701AA9A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ES" w:eastAsia="es-AR"/>
        </w:rPr>
      </w:pPr>
      <w:r>
        <w:rPr>
          <w:rFonts w:ascii="Verdana" w:eastAsia="Calibri" w:hAnsi="Verdana"/>
          <w:sz w:val="20"/>
          <w:szCs w:val="20"/>
          <w:lang w:val="es-ES" w:eastAsia="es-AR"/>
        </w:rPr>
        <w:t>c.</w:t>
      </w:r>
      <w:r>
        <w:rPr>
          <w:rFonts w:ascii="Verdana" w:eastAsia="Calibri" w:hAnsi="Verdana"/>
          <w:sz w:val="20"/>
          <w:szCs w:val="20"/>
          <w:lang w:val="es-ES" w:eastAsia="es-AR"/>
        </w:rPr>
        <w:tab/>
        <w:t>Creación de políticas de excepción en análisis</w:t>
      </w:r>
    </w:p>
    <w:p w14:paraId="35FA8347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ES" w:eastAsia="es-AR"/>
        </w:rPr>
        <w:t>d.</w:t>
      </w:r>
      <w:r>
        <w:rPr>
          <w:rFonts w:ascii="Verdana" w:eastAsia="Calibri" w:hAnsi="Verdana"/>
          <w:sz w:val="20"/>
          <w:szCs w:val="20"/>
          <w:lang w:val="es-ES" w:eastAsia="es-AR"/>
        </w:rPr>
        <w:tab/>
        <w:t>Creación de excepciones desde el log de eventos</w:t>
      </w:r>
    </w:p>
    <w:p w14:paraId="668B1082" w14:textId="77777777" w:rsidR="0019106C" w:rsidRDefault="0019106C" w:rsidP="0019106C">
      <w:pPr>
        <w:spacing w:after="240" w:line="276" w:lineRule="auto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ES" w:eastAsia="es-AR"/>
        </w:rPr>
        <w:t> </w:t>
      </w:r>
    </w:p>
    <w:p w14:paraId="000543A4" w14:textId="77777777" w:rsidR="0019106C" w:rsidRDefault="0019106C" w:rsidP="0019106C">
      <w:pPr>
        <w:spacing w:after="240" w:line="276" w:lineRule="auto"/>
        <w:contextualSpacing/>
        <w:rPr>
          <w:rFonts w:ascii="Verdana" w:eastAsia="Calibri" w:hAnsi="Verdana"/>
          <w:sz w:val="20"/>
          <w:szCs w:val="20"/>
          <w:lang w:val="es-AR" w:eastAsia="es-AR"/>
        </w:rPr>
      </w:pPr>
    </w:p>
    <w:p w14:paraId="65009A15" w14:textId="77777777" w:rsidR="0019106C" w:rsidRDefault="0019106C" w:rsidP="0019106C">
      <w:pPr>
        <w:spacing w:after="200" w:line="276" w:lineRule="auto"/>
        <w:ind w:left="72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b/>
          <w:bCs/>
          <w:sz w:val="20"/>
          <w:szCs w:val="20"/>
          <w:lang w:val="es-MX" w:eastAsia="es-AR"/>
        </w:rPr>
        <w:t xml:space="preserve">7)   Políticas de control de Aplicaciones y Dispositivos </w:t>
      </w:r>
    </w:p>
    <w:p w14:paraId="6323F79D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a.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</w:r>
      <w:r>
        <w:rPr>
          <w:rFonts w:ascii="Verdana" w:eastAsia="Calibri" w:hAnsi="Verdana"/>
          <w:sz w:val="20"/>
          <w:szCs w:val="20"/>
          <w:lang w:val="es-ES" w:eastAsia="es-AR"/>
        </w:rPr>
        <w:t xml:space="preserve">Creación de políticas de control de dispositivos y aplicaciones </w:t>
      </w:r>
    </w:p>
    <w:p w14:paraId="75DF1D85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lastRenderedPageBreak/>
        <w:t>b.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>Definición de control de aplicaciones</w:t>
      </w:r>
    </w:p>
    <w:p w14:paraId="0B7C6F35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c.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>Modificar reglas de políticas</w:t>
      </w:r>
    </w:p>
    <w:p w14:paraId="3FC2E958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d.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 xml:space="preserve">Definición del control de dispositivos </w:t>
      </w:r>
    </w:p>
    <w:p w14:paraId="337EAB70" w14:textId="77777777" w:rsidR="0019106C" w:rsidRDefault="0019106C" w:rsidP="0019106C">
      <w:pPr>
        <w:spacing w:after="240" w:line="276" w:lineRule="auto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 </w:t>
      </w:r>
    </w:p>
    <w:p w14:paraId="1D83B2B1" w14:textId="77777777" w:rsidR="0019106C" w:rsidRDefault="0019106C" w:rsidP="0019106C">
      <w:pPr>
        <w:spacing w:after="200" w:line="276" w:lineRule="auto"/>
        <w:ind w:left="72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b/>
          <w:bCs/>
          <w:sz w:val="20"/>
          <w:szCs w:val="20"/>
          <w:lang w:val="es-MX" w:eastAsia="es-AR"/>
        </w:rPr>
        <w:t xml:space="preserve">8)   Personalización de la protección de amenazas de red y control de dispositivos y aplicaciones </w:t>
      </w:r>
    </w:p>
    <w:p w14:paraId="606B0352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a.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>Herramientas para la personalización de la protección contra amenazas de red</w:t>
      </w:r>
    </w:p>
    <w:p w14:paraId="046B4486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b.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>Manejo de políticas de componentes</w:t>
      </w:r>
    </w:p>
    <w:p w14:paraId="22307317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c.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 xml:space="preserve">Configuración de “learned applications” </w:t>
      </w:r>
    </w:p>
    <w:p w14:paraId="37BC0BDA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d.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  <w:t xml:space="preserve">Configuración de “system lockdown” </w:t>
      </w:r>
    </w:p>
    <w:p w14:paraId="441F8383" w14:textId="77777777" w:rsidR="0019106C" w:rsidRDefault="0019106C" w:rsidP="0019106C">
      <w:pPr>
        <w:spacing w:after="240" w:line="276" w:lineRule="auto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 </w:t>
      </w:r>
    </w:p>
    <w:p w14:paraId="0804FFDA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</w:p>
    <w:p w14:paraId="42D7F7B5" w14:textId="77777777" w:rsidR="0019106C" w:rsidRDefault="0019106C" w:rsidP="0019106C">
      <w:pPr>
        <w:spacing w:after="200" w:line="276" w:lineRule="auto"/>
        <w:ind w:left="72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b/>
          <w:bCs/>
          <w:sz w:val="20"/>
          <w:szCs w:val="20"/>
          <w:lang w:val="es-MX" w:eastAsia="es-AR"/>
        </w:rPr>
        <w:t xml:space="preserve">9)   Nueva interface Monitoreo y Reportes avanzados </w:t>
      </w:r>
    </w:p>
    <w:p w14:paraId="7246A65B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ES" w:eastAsia="es-AR"/>
        </w:rPr>
        <w:t>a.</w:t>
      </w:r>
      <w:r>
        <w:rPr>
          <w:rFonts w:ascii="Verdana" w:eastAsia="Calibri" w:hAnsi="Verdana"/>
          <w:sz w:val="20"/>
          <w:szCs w:val="20"/>
          <w:lang w:val="es-ES" w:eastAsia="es-AR"/>
        </w:rPr>
        <w:tab/>
        <w:t>Sitio principal y nuevas características</w:t>
      </w:r>
    </w:p>
    <w:p w14:paraId="1B68D577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ES" w:eastAsia="es-AR"/>
        </w:rPr>
        <w:t>b.</w:t>
      </w:r>
      <w:r>
        <w:rPr>
          <w:rFonts w:ascii="Verdana" w:eastAsia="Calibri" w:hAnsi="Verdana"/>
          <w:sz w:val="20"/>
          <w:szCs w:val="20"/>
          <w:lang w:val="es-ES" w:eastAsia="es-AR"/>
        </w:rPr>
        <w:tab/>
        <w:t xml:space="preserve">Análisis y manejo de </w:t>
      </w:r>
      <w:proofErr w:type="spellStart"/>
      <w:r>
        <w:rPr>
          <w:rFonts w:ascii="Verdana" w:eastAsia="Calibri" w:hAnsi="Verdana"/>
          <w:sz w:val="20"/>
          <w:szCs w:val="20"/>
          <w:lang w:val="es-ES" w:eastAsia="es-AR"/>
        </w:rPr>
        <w:t>logs</w:t>
      </w:r>
      <w:proofErr w:type="spellEnd"/>
    </w:p>
    <w:p w14:paraId="1FD1F8FE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c.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</w:r>
      <w:r>
        <w:rPr>
          <w:rFonts w:ascii="Verdana" w:eastAsia="Calibri" w:hAnsi="Verdana"/>
          <w:sz w:val="20"/>
          <w:szCs w:val="20"/>
          <w:lang w:val="es-ES" w:eastAsia="es-AR"/>
        </w:rPr>
        <w:t>Configuración y visualización de notificaciones</w:t>
      </w:r>
    </w:p>
    <w:p w14:paraId="5549FC0B" w14:textId="77777777" w:rsidR="0019106C" w:rsidRDefault="0019106C" w:rsidP="0019106C">
      <w:pPr>
        <w:spacing w:after="200" w:line="276" w:lineRule="auto"/>
        <w:ind w:left="1440"/>
        <w:contextualSpacing/>
        <w:rPr>
          <w:rFonts w:ascii="Verdana" w:eastAsia="Calibri" w:hAnsi="Verdana"/>
          <w:sz w:val="20"/>
          <w:szCs w:val="20"/>
          <w:lang w:val="es-AR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d.</w:t>
      </w:r>
      <w:r>
        <w:rPr>
          <w:rFonts w:ascii="Verdana" w:eastAsia="Calibri" w:hAnsi="Verdana"/>
          <w:sz w:val="20"/>
          <w:szCs w:val="20"/>
          <w:lang w:val="es-AR" w:eastAsia="es-AR"/>
        </w:rPr>
        <w:tab/>
      </w:r>
      <w:r>
        <w:rPr>
          <w:rFonts w:ascii="Verdana" w:eastAsia="Calibri" w:hAnsi="Verdana"/>
          <w:sz w:val="20"/>
          <w:szCs w:val="20"/>
          <w:lang w:val="es-ES" w:eastAsia="es-AR"/>
        </w:rPr>
        <w:t>Creación y revisión de reportes</w:t>
      </w:r>
    </w:p>
    <w:p w14:paraId="12570EAF" w14:textId="77777777" w:rsidR="0019106C" w:rsidRPr="007D28D8" w:rsidRDefault="0019106C" w:rsidP="0019106C">
      <w:pPr>
        <w:spacing w:after="240" w:line="276" w:lineRule="auto"/>
        <w:contextualSpacing/>
        <w:rPr>
          <w:rFonts w:ascii="Verdana" w:eastAsia="Calibri" w:hAnsi="Verdana"/>
          <w:sz w:val="20"/>
          <w:szCs w:val="20"/>
          <w:lang w:val="es-ES" w:eastAsia="es-AR"/>
        </w:rPr>
      </w:pPr>
      <w:r>
        <w:rPr>
          <w:rFonts w:ascii="Verdana" w:eastAsia="Calibri" w:hAnsi="Verdana"/>
          <w:sz w:val="20"/>
          <w:szCs w:val="20"/>
          <w:lang w:val="es-AR" w:eastAsia="es-AR"/>
        </w:rPr>
        <w:t> </w:t>
      </w:r>
      <w:r>
        <w:rPr>
          <w:rFonts w:ascii="Verdana" w:eastAsia="Calibri" w:hAnsi="Verdana"/>
          <w:b/>
          <w:bCs/>
          <w:sz w:val="20"/>
          <w:szCs w:val="20"/>
          <w:lang w:val="es-MX" w:eastAsia="es-AR"/>
        </w:rPr>
        <w:t xml:space="preserve"> </w:t>
      </w:r>
    </w:p>
    <w:p w14:paraId="30DB1D80" w14:textId="77777777" w:rsidR="0019106C" w:rsidRDefault="0019106C" w:rsidP="0019106C">
      <w:pPr>
        <w:pStyle w:val="Cuerpodedoc"/>
        <w:spacing w:before="0" w:beforeAutospacing="0" w:after="0"/>
        <w:rPr>
          <w:rFonts w:cs="Arial"/>
          <w:lang w:val="es-ES"/>
        </w:rPr>
      </w:pPr>
    </w:p>
    <w:p w14:paraId="61078DBE" w14:textId="77777777" w:rsidR="0019106C" w:rsidRPr="00274278" w:rsidRDefault="0019106C" w:rsidP="0019106C">
      <w:pPr>
        <w:pStyle w:val="-Textos"/>
        <w:spacing w:line="360" w:lineRule="auto"/>
        <w:ind w:left="567"/>
        <w:rPr>
          <w:rFonts w:ascii="Verdana" w:hAnsi="Verdana" w:cs="Arial"/>
          <w:b/>
          <w:lang w:val="es-ES" w:eastAsia="es-ES"/>
        </w:rPr>
      </w:pPr>
      <w:r w:rsidRPr="00274278">
        <w:rPr>
          <w:rFonts w:ascii="Verdana" w:hAnsi="Verdana" w:cs="Arial"/>
          <w:b/>
          <w:lang w:val="es-ES" w:eastAsia="es-ES"/>
        </w:rPr>
        <w:t>Limitaciones:</w:t>
      </w:r>
    </w:p>
    <w:p w14:paraId="79D58E7B" w14:textId="77777777" w:rsidR="004152F4" w:rsidRDefault="004152F4" w:rsidP="004152F4">
      <w:pPr>
        <w:pStyle w:val="-Textos"/>
        <w:numPr>
          <w:ilvl w:val="0"/>
          <w:numId w:val="1"/>
        </w:numPr>
        <w:rPr>
          <w:rFonts w:ascii="Verdana" w:hAnsi="Verdana" w:cs="Arial"/>
          <w:lang w:val="es-ES" w:eastAsia="es-ES"/>
        </w:rPr>
      </w:pPr>
      <w:r>
        <w:rPr>
          <w:rFonts w:ascii="Verdana" w:hAnsi="Verdana" w:cs="Arial"/>
          <w:lang w:val="es-ES" w:eastAsia="es-ES"/>
        </w:rPr>
        <w:t>La capacitación se realizará en días laborales de lunes a viernes de 9 a 18 Hs horario de Argentina (-03 GMT) exceptuando días feriados nacionales.</w:t>
      </w:r>
    </w:p>
    <w:p w14:paraId="10C80A6F" w14:textId="77777777" w:rsidR="0019106C" w:rsidRPr="00084E84" w:rsidRDefault="0019106C" w:rsidP="004152F4">
      <w:pPr>
        <w:pStyle w:val="-Textos"/>
        <w:ind w:left="720"/>
        <w:rPr>
          <w:rFonts w:ascii="Verdana" w:hAnsi="Verdana" w:cs="Arial"/>
          <w:lang w:val="es-ES" w:eastAsia="es-ES"/>
        </w:rPr>
      </w:pPr>
    </w:p>
    <w:p w14:paraId="654500A4" w14:textId="77777777" w:rsidR="001B6D6A" w:rsidRDefault="001B6D6A" w:rsidP="009E4D6F">
      <w:pPr>
        <w:pStyle w:val="-Textos"/>
        <w:spacing w:line="360" w:lineRule="auto"/>
        <w:rPr>
          <w:rFonts w:ascii="Verdana" w:hAnsi="Verdana" w:cs="Arial"/>
          <w:b/>
          <w:lang w:val="es-ES" w:eastAsia="es-ES"/>
        </w:rPr>
      </w:pPr>
    </w:p>
    <w:p w14:paraId="233675E3" w14:textId="77777777" w:rsidR="001B6D6A" w:rsidRPr="00274278" w:rsidRDefault="001B6D6A" w:rsidP="001B6D6A">
      <w:pPr>
        <w:pStyle w:val="-Textos"/>
        <w:spacing w:line="360" w:lineRule="auto"/>
        <w:ind w:left="567"/>
        <w:rPr>
          <w:rFonts w:ascii="Verdana" w:hAnsi="Verdana" w:cs="Arial"/>
          <w:b/>
          <w:lang w:val="es-ES" w:eastAsia="es-ES"/>
        </w:rPr>
      </w:pPr>
      <w:r w:rsidRPr="00274278">
        <w:rPr>
          <w:rFonts w:ascii="Verdana" w:hAnsi="Verdana" w:cs="Arial"/>
          <w:b/>
          <w:lang w:val="es-ES" w:eastAsia="es-ES"/>
        </w:rPr>
        <w:t>Requerimientos</w:t>
      </w:r>
      <w:r>
        <w:rPr>
          <w:rFonts w:ascii="Verdana" w:hAnsi="Verdana" w:cs="Arial"/>
          <w:b/>
          <w:lang w:val="es-ES" w:eastAsia="es-ES"/>
        </w:rPr>
        <w:t xml:space="preserve"> capacitación remota:</w:t>
      </w:r>
    </w:p>
    <w:p w14:paraId="7B5544ED" w14:textId="77777777" w:rsidR="001B6D6A" w:rsidRDefault="001B6D6A" w:rsidP="001B6D6A">
      <w:pPr>
        <w:pStyle w:val="-Textos"/>
        <w:numPr>
          <w:ilvl w:val="0"/>
          <w:numId w:val="3"/>
        </w:numPr>
        <w:spacing w:line="360" w:lineRule="auto"/>
        <w:rPr>
          <w:rFonts w:ascii="Verdana" w:hAnsi="Verdana" w:cs="Arial"/>
          <w:lang w:val="es-ES" w:eastAsia="es-ES"/>
        </w:rPr>
      </w:pPr>
      <w:r>
        <w:rPr>
          <w:rFonts w:ascii="Verdana" w:hAnsi="Verdana" w:cs="Arial"/>
          <w:lang w:val="es-ES" w:eastAsia="es-ES"/>
        </w:rPr>
        <w:t>Las asistentes deberán contar con un Notebook compatible a los requerimientos mínimos de producto.</w:t>
      </w:r>
    </w:p>
    <w:p w14:paraId="11423289" w14:textId="77777777" w:rsidR="001B6D6A" w:rsidRDefault="001B6D6A" w:rsidP="001B6D6A">
      <w:pPr>
        <w:pStyle w:val="a0"/>
        <w:numPr>
          <w:ilvl w:val="0"/>
          <w:numId w:val="3"/>
        </w:numPr>
        <w:spacing w:before="0" w:beforeAutospacing="0" w:afterAutospacing="0"/>
        <w:jc w:val="left"/>
        <w:rPr>
          <w:rFonts w:ascii="Verdana" w:hAnsi="Verdana" w:cs="Arial"/>
          <w:color w:val="000000"/>
          <w:sz w:val="20"/>
          <w:szCs w:val="20"/>
          <w:lang w:val="es-ES" w:eastAsia="en-US"/>
        </w:rPr>
      </w:pPr>
      <w:r>
        <w:rPr>
          <w:rFonts w:ascii="Verdana" w:hAnsi="Verdana" w:cs="Arial"/>
          <w:color w:val="000000"/>
          <w:sz w:val="20"/>
          <w:szCs w:val="20"/>
          <w:lang w:val="es-ES" w:eastAsia="en-US"/>
        </w:rPr>
        <w:t>El cliente deberá contar para la conexión a la sesión remota, computadoras con disponibilidad de parlantes, micrófono y acceso a la plataforma https://global.gotomeeting.com/</w:t>
      </w:r>
    </w:p>
    <w:p w14:paraId="33995DC1" w14:textId="77777777" w:rsidR="0019106C" w:rsidRDefault="0019106C" w:rsidP="0019106C">
      <w:pPr>
        <w:pStyle w:val="-Textos"/>
        <w:spacing w:line="360" w:lineRule="auto"/>
        <w:ind w:left="567"/>
        <w:jc w:val="both"/>
        <w:rPr>
          <w:rFonts w:ascii="Verdana" w:hAnsi="Verdana" w:cs="Arial"/>
          <w:lang w:val="es-ES" w:eastAsia="es-ES"/>
        </w:rPr>
      </w:pPr>
    </w:p>
    <w:p w14:paraId="1DAE807E" w14:textId="77777777" w:rsidR="006E14BA" w:rsidRDefault="006E14BA" w:rsidP="006E14BA">
      <w:pPr>
        <w:spacing w:before="100" w:beforeAutospacing="1" w:after="100" w:afterAutospacing="1" w:line="360" w:lineRule="auto"/>
        <w:rPr>
          <w:rFonts w:ascii="Verdana" w:hAnsi="Verdana"/>
          <w:color w:val="000000"/>
          <w:sz w:val="20"/>
          <w:szCs w:val="20"/>
          <w:lang w:val="es-AR" w:eastAsia="es-AR"/>
        </w:rPr>
      </w:pPr>
      <w:r w:rsidRPr="0036497F">
        <w:rPr>
          <w:rFonts w:ascii="Verdana" w:hAnsi="Verdana"/>
          <w:b/>
          <w:color w:val="000000"/>
          <w:sz w:val="20"/>
          <w:szCs w:val="20"/>
          <w:lang w:val="es-AR" w:eastAsia="es-AR"/>
        </w:rPr>
        <w:t>Duración</w:t>
      </w:r>
      <w:r>
        <w:rPr>
          <w:rFonts w:ascii="Verdana" w:hAnsi="Verdana"/>
          <w:b/>
          <w:color w:val="000000"/>
          <w:sz w:val="20"/>
          <w:szCs w:val="20"/>
          <w:lang w:val="es-AR" w:eastAsia="es-AR"/>
        </w:rPr>
        <w:t xml:space="preserve"> y tiempos de capacitación</w:t>
      </w:r>
      <w:r w:rsidRPr="0036497F">
        <w:rPr>
          <w:rFonts w:ascii="Verdana" w:hAnsi="Verdana"/>
          <w:b/>
          <w:color w:val="000000"/>
          <w:sz w:val="20"/>
          <w:szCs w:val="20"/>
          <w:lang w:val="es-AR" w:eastAsia="es-AR"/>
        </w:rPr>
        <w:t>:</w:t>
      </w:r>
      <w:r w:rsidRPr="0036497F">
        <w:rPr>
          <w:rFonts w:ascii="Verdana" w:hAnsi="Verdana"/>
          <w:color w:val="000000"/>
          <w:sz w:val="20"/>
          <w:szCs w:val="20"/>
          <w:lang w:val="es-AR" w:eastAsia="es-AR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s-AR" w:eastAsia="es-AR"/>
        </w:rPr>
        <w:t xml:space="preserve">8 horas, 1 día hábil </w:t>
      </w:r>
      <w:r w:rsidRPr="0036497F">
        <w:rPr>
          <w:rFonts w:ascii="Verdana" w:hAnsi="Verdana"/>
          <w:color w:val="000000"/>
          <w:sz w:val="20"/>
          <w:szCs w:val="20"/>
          <w:lang w:val="es-AR" w:eastAsia="es-AR"/>
        </w:rPr>
        <w:t xml:space="preserve">dentro del horario </w:t>
      </w:r>
      <w:r>
        <w:rPr>
          <w:rFonts w:ascii="Verdana" w:hAnsi="Verdana"/>
          <w:color w:val="000000"/>
          <w:sz w:val="20"/>
          <w:szCs w:val="20"/>
          <w:lang w:val="es-AR" w:eastAsia="es-AR"/>
        </w:rPr>
        <w:t xml:space="preserve">laboral de Argentina </w:t>
      </w:r>
      <w:r w:rsidRPr="0036497F">
        <w:rPr>
          <w:rFonts w:ascii="Verdana" w:hAnsi="Verdana"/>
          <w:color w:val="000000"/>
          <w:sz w:val="20"/>
          <w:szCs w:val="20"/>
          <w:lang w:val="es-AR" w:eastAsia="es-AR"/>
        </w:rPr>
        <w:t>de 09 a 18 hs.</w:t>
      </w:r>
    </w:p>
    <w:p w14:paraId="4A843146" w14:textId="77777777" w:rsidR="006E14BA" w:rsidRPr="006E14BA" w:rsidRDefault="006E14BA" w:rsidP="0019106C">
      <w:pPr>
        <w:pStyle w:val="-Textos"/>
        <w:spacing w:line="360" w:lineRule="auto"/>
        <w:ind w:left="567"/>
        <w:jc w:val="both"/>
        <w:rPr>
          <w:rFonts w:ascii="Verdana" w:hAnsi="Verdana" w:cs="Arial"/>
          <w:lang w:val="es-AR" w:eastAsia="es-ES"/>
        </w:rPr>
      </w:pPr>
    </w:p>
    <w:sectPr w:rsidR="006E14BA" w:rsidRPr="006E14BA" w:rsidSect="00E416AC">
      <w:headerReference w:type="default" r:id="rId7"/>
      <w:footerReference w:type="default" r:id="rId8"/>
      <w:pgSz w:w="11900" w:h="16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8ED89" w14:textId="77777777" w:rsidR="000B2F43" w:rsidRDefault="000B2F43" w:rsidP="00E416AC">
      <w:r>
        <w:separator/>
      </w:r>
    </w:p>
  </w:endnote>
  <w:endnote w:type="continuationSeparator" w:id="0">
    <w:p w14:paraId="341EAABD" w14:textId="77777777" w:rsidR="000B2F43" w:rsidRDefault="000B2F43" w:rsidP="00E4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E211E" w14:textId="77777777" w:rsidR="00CE14E3" w:rsidRDefault="00067069" w:rsidP="00067069">
    <w:pPr>
      <w:pStyle w:val="Piedepgina"/>
      <w:jc w:val="right"/>
    </w:pPr>
    <w:r w:rsidRPr="00B67275">
      <w:rPr>
        <w:rFonts w:ascii="Arial" w:hAnsi="Arial"/>
        <w:color w:val="000000"/>
        <w:sz w:val="16"/>
        <w:lang w:val="es-AR"/>
      </w:rPr>
      <w:t>Uso Confidencial</w:t>
    </w:r>
    <w:r w:rsidRPr="00142293">
      <w:rPr>
        <w:rFonts w:ascii="Arial" w:hAnsi="Arial"/>
        <w:color w:val="000000"/>
        <w:sz w:val="16"/>
      </w:rPr>
      <w:t>.</w:t>
    </w:r>
    <w:r w:rsidR="00CE14E3"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6FC9D75F" wp14:editId="2D584F53">
          <wp:simplePos x="0" y="0"/>
          <wp:positionH relativeFrom="column">
            <wp:posOffset>-1081405</wp:posOffset>
          </wp:positionH>
          <wp:positionV relativeFrom="paragraph">
            <wp:posOffset>-89535</wp:posOffset>
          </wp:positionV>
          <wp:extent cx="7559675" cy="71818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81832" w14:textId="77777777" w:rsidR="000B2F43" w:rsidRDefault="000B2F43" w:rsidP="00E416AC">
      <w:r>
        <w:separator/>
      </w:r>
    </w:p>
  </w:footnote>
  <w:footnote w:type="continuationSeparator" w:id="0">
    <w:p w14:paraId="4F8D8BEA" w14:textId="77777777" w:rsidR="000B2F43" w:rsidRDefault="000B2F43" w:rsidP="00E416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457ED" w14:textId="77777777" w:rsidR="00E416AC" w:rsidRDefault="00461E90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1312" behindDoc="1" locked="0" layoutInCell="1" allowOverlap="1" wp14:anchorId="76F36BE5" wp14:editId="737F256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9675" cy="1764665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ogo_propuestacapacitaci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9pt;height:17pt;mso-wrap-edited:f" wrapcoords="-900 0 -900 20700 21600 20700 21600 0 -900 0" o:bullet="t">
        <v:imagedata r:id="rId1" o:title="flecha_gris_grande"/>
      </v:shape>
    </w:pict>
  </w:numPicBullet>
  <w:abstractNum w:abstractNumId="0">
    <w:nsid w:val="108609CE"/>
    <w:multiLevelType w:val="hybridMultilevel"/>
    <w:tmpl w:val="A5E824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D54D6"/>
    <w:multiLevelType w:val="hybridMultilevel"/>
    <w:tmpl w:val="DD56C6D6"/>
    <w:lvl w:ilvl="0" w:tplc="26A861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02D2B"/>
    <w:multiLevelType w:val="hybridMultilevel"/>
    <w:tmpl w:val="0BE25C30"/>
    <w:lvl w:ilvl="0" w:tplc="2C0A0019">
      <w:start w:val="1"/>
      <w:numFmt w:val="lowerLetter"/>
      <w:lvlText w:val="%1."/>
      <w:lvlJc w:val="left"/>
      <w:pPr>
        <w:ind w:left="2204" w:hanging="360"/>
      </w:pPr>
    </w:lvl>
    <w:lvl w:ilvl="1" w:tplc="2C0A0019">
      <w:start w:val="1"/>
      <w:numFmt w:val="lowerLetter"/>
      <w:lvlText w:val="%2."/>
      <w:lvlJc w:val="left"/>
      <w:pPr>
        <w:ind w:left="3306" w:hanging="360"/>
      </w:pPr>
    </w:lvl>
    <w:lvl w:ilvl="2" w:tplc="2C0A001B" w:tentative="1">
      <w:start w:val="1"/>
      <w:numFmt w:val="lowerRoman"/>
      <w:lvlText w:val="%3."/>
      <w:lvlJc w:val="right"/>
      <w:pPr>
        <w:ind w:left="4026" w:hanging="180"/>
      </w:pPr>
    </w:lvl>
    <w:lvl w:ilvl="3" w:tplc="2C0A000F" w:tentative="1">
      <w:start w:val="1"/>
      <w:numFmt w:val="decimal"/>
      <w:lvlText w:val="%4."/>
      <w:lvlJc w:val="left"/>
      <w:pPr>
        <w:ind w:left="4746" w:hanging="360"/>
      </w:pPr>
    </w:lvl>
    <w:lvl w:ilvl="4" w:tplc="2C0A0019" w:tentative="1">
      <w:start w:val="1"/>
      <w:numFmt w:val="lowerLetter"/>
      <w:lvlText w:val="%5."/>
      <w:lvlJc w:val="left"/>
      <w:pPr>
        <w:ind w:left="5466" w:hanging="360"/>
      </w:pPr>
    </w:lvl>
    <w:lvl w:ilvl="5" w:tplc="2C0A001B" w:tentative="1">
      <w:start w:val="1"/>
      <w:numFmt w:val="lowerRoman"/>
      <w:lvlText w:val="%6."/>
      <w:lvlJc w:val="right"/>
      <w:pPr>
        <w:ind w:left="6186" w:hanging="180"/>
      </w:pPr>
    </w:lvl>
    <w:lvl w:ilvl="6" w:tplc="2C0A000F" w:tentative="1">
      <w:start w:val="1"/>
      <w:numFmt w:val="decimal"/>
      <w:lvlText w:val="%7."/>
      <w:lvlJc w:val="left"/>
      <w:pPr>
        <w:ind w:left="6906" w:hanging="360"/>
      </w:pPr>
    </w:lvl>
    <w:lvl w:ilvl="7" w:tplc="2C0A0019" w:tentative="1">
      <w:start w:val="1"/>
      <w:numFmt w:val="lowerLetter"/>
      <w:lvlText w:val="%8."/>
      <w:lvlJc w:val="left"/>
      <w:pPr>
        <w:ind w:left="7626" w:hanging="360"/>
      </w:pPr>
    </w:lvl>
    <w:lvl w:ilvl="8" w:tplc="2C0A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">
    <w:nsid w:val="34D172A8"/>
    <w:multiLevelType w:val="hybridMultilevel"/>
    <w:tmpl w:val="AEFC79D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3D77"/>
    <w:multiLevelType w:val="hybridMultilevel"/>
    <w:tmpl w:val="32FC4ECA"/>
    <w:lvl w:ilvl="0" w:tplc="2644438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AC"/>
    <w:rsid w:val="00067069"/>
    <w:rsid w:val="00084E84"/>
    <w:rsid w:val="000B2F43"/>
    <w:rsid w:val="000F00E8"/>
    <w:rsid w:val="0019106C"/>
    <w:rsid w:val="001A1FBE"/>
    <w:rsid w:val="001B6D6A"/>
    <w:rsid w:val="001E7EF0"/>
    <w:rsid w:val="003775F9"/>
    <w:rsid w:val="004152F4"/>
    <w:rsid w:val="00461E90"/>
    <w:rsid w:val="004B66EA"/>
    <w:rsid w:val="00590BAF"/>
    <w:rsid w:val="005A41B0"/>
    <w:rsid w:val="00615DD5"/>
    <w:rsid w:val="006E14BA"/>
    <w:rsid w:val="00970A0D"/>
    <w:rsid w:val="009E4D6F"/>
    <w:rsid w:val="00A26608"/>
    <w:rsid w:val="00B26AFD"/>
    <w:rsid w:val="00B3025D"/>
    <w:rsid w:val="00C11F59"/>
    <w:rsid w:val="00CE14E3"/>
    <w:rsid w:val="00DA6CA1"/>
    <w:rsid w:val="00E416AC"/>
    <w:rsid w:val="00E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EB112AC"/>
  <w14:defaultImageDpi w14:val="300"/>
  <w15:docId w15:val="{F7B48293-4425-4750-9F9B-EE20C5AA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6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6AC"/>
  </w:style>
  <w:style w:type="paragraph" w:styleId="Piedepgina">
    <w:name w:val="footer"/>
    <w:basedOn w:val="Normal"/>
    <w:link w:val="PiedepginaCar"/>
    <w:uiPriority w:val="99"/>
    <w:unhideWhenUsed/>
    <w:rsid w:val="00E416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6AC"/>
  </w:style>
  <w:style w:type="paragraph" w:styleId="Textodeglobo">
    <w:name w:val="Balloon Text"/>
    <w:basedOn w:val="Normal"/>
    <w:link w:val="TextodegloboCar"/>
    <w:uiPriority w:val="99"/>
    <w:semiHidden/>
    <w:unhideWhenUsed/>
    <w:rsid w:val="00E41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6AC"/>
    <w:rPr>
      <w:rFonts w:ascii="Lucida Grande" w:hAnsi="Lucida Grande" w:cs="Lucida Grande"/>
      <w:sz w:val="18"/>
      <w:szCs w:val="18"/>
    </w:rPr>
  </w:style>
  <w:style w:type="paragraph" w:customStyle="1" w:styleId="-Textos">
    <w:name w:val="- Textos"/>
    <w:basedOn w:val="Normal"/>
    <w:rsid w:val="00A26608"/>
    <w:rPr>
      <w:rFonts w:ascii="Arial" w:eastAsia="Times New Roman" w:hAnsi="Arial" w:cs="Times New Roman"/>
      <w:color w:val="000000"/>
      <w:sz w:val="20"/>
      <w:szCs w:val="20"/>
      <w:lang w:eastAsia="es-ES_tradnl"/>
    </w:rPr>
  </w:style>
  <w:style w:type="paragraph" w:customStyle="1" w:styleId="Cuerpodedoc">
    <w:name w:val="Cuerpo de doc"/>
    <w:basedOn w:val="Normal"/>
    <w:link w:val="CuerpodedocCar"/>
    <w:qFormat/>
    <w:rsid w:val="00A26608"/>
    <w:pPr>
      <w:spacing w:before="100" w:beforeAutospacing="1" w:after="120"/>
      <w:ind w:right="51"/>
    </w:pPr>
    <w:rPr>
      <w:rFonts w:ascii="Verdana" w:eastAsia="Times New Roman" w:hAnsi="Verdana" w:cs="Times New Roman"/>
      <w:snapToGrid w:val="0"/>
      <w:color w:val="000000"/>
      <w:sz w:val="20"/>
      <w:szCs w:val="20"/>
      <w:lang w:val="es-CL" w:eastAsia="en-US"/>
    </w:rPr>
  </w:style>
  <w:style w:type="paragraph" w:customStyle="1" w:styleId="Titulo2">
    <w:name w:val="Titulo 2"/>
    <w:basedOn w:val="Cuerpodedoc"/>
    <w:link w:val="Titulo2Car"/>
    <w:qFormat/>
    <w:rsid w:val="00A26608"/>
    <w:rPr>
      <w:b/>
      <w:caps/>
      <w:color w:val="F79646"/>
      <w:lang w:eastAsia="es-ES_tradnl"/>
    </w:rPr>
  </w:style>
  <w:style w:type="character" w:customStyle="1" w:styleId="CuerpodedocCar">
    <w:name w:val="Cuerpo de doc Car"/>
    <w:link w:val="Cuerpodedoc"/>
    <w:rsid w:val="00A26608"/>
    <w:rPr>
      <w:rFonts w:ascii="Verdana" w:eastAsia="Times New Roman" w:hAnsi="Verdana" w:cs="Times New Roman"/>
      <w:snapToGrid w:val="0"/>
      <w:color w:val="000000"/>
      <w:sz w:val="20"/>
      <w:szCs w:val="20"/>
      <w:lang w:val="es-CL" w:eastAsia="en-US"/>
    </w:rPr>
  </w:style>
  <w:style w:type="character" w:customStyle="1" w:styleId="Titulo2Car">
    <w:name w:val="Titulo 2 Car"/>
    <w:link w:val="Titulo2"/>
    <w:rsid w:val="00A26608"/>
    <w:rPr>
      <w:rFonts w:ascii="Verdana" w:eastAsia="Times New Roman" w:hAnsi="Verdana" w:cs="Times New Roman"/>
      <w:b/>
      <w:caps/>
      <w:snapToGrid w:val="0"/>
      <w:color w:val="F79646"/>
      <w:sz w:val="20"/>
      <w:szCs w:val="20"/>
      <w:lang w:val="es-CL" w:eastAsia="es-ES_tradnl"/>
    </w:rPr>
  </w:style>
  <w:style w:type="paragraph" w:customStyle="1" w:styleId="a0">
    <w:name w:val="a0"/>
    <w:basedOn w:val="Normal"/>
    <w:rsid w:val="001B6D6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5A4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3584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Usuario de Microsoft Office</cp:lastModifiedBy>
  <cp:revision>2</cp:revision>
  <dcterms:created xsi:type="dcterms:W3CDTF">2017-02-06T18:23:00Z</dcterms:created>
  <dcterms:modified xsi:type="dcterms:W3CDTF">2017-02-06T18:23:00Z</dcterms:modified>
</cp:coreProperties>
</file>